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59" w:rsidRPr="00BC3749" w:rsidRDefault="005A1159" w:rsidP="00BC3749">
      <w:pPr>
        <w:tabs>
          <w:tab w:val="center" w:pos="5587"/>
          <w:tab w:val="left" w:pos="7440"/>
        </w:tabs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  <w:t>Пояснительная записка.</w:t>
      </w:r>
    </w:p>
    <w:p w:rsidR="005A1159" w:rsidRPr="00BC3749" w:rsidRDefault="005A1159" w:rsidP="00BC3749">
      <w:pPr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Федеральный закон от 29.12.2012 № 273-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Ф3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BC37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BC37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proofErr w:type="gram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proofErr w:type="gramEnd"/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Письмо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Минпросвещения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общего образования по русскому языку.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организациях», </w:t>
      </w:r>
      <w:r w:rsidRPr="00BC3749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BC3749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BC3749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BC3749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5A1159" w:rsidRPr="00BC3749" w:rsidRDefault="005A1159" w:rsidP="00BC3749">
      <w:pPr>
        <w:pStyle w:val="a3"/>
        <w:numPr>
          <w:ilvl w:val="0"/>
          <w:numId w:val="34"/>
        </w:numPr>
        <w:suppressAutoHyphens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5A1159" w:rsidRPr="00BC3749" w:rsidRDefault="005A1159" w:rsidP="00BC3749">
      <w:pPr>
        <w:pStyle w:val="a3"/>
        <w:numPr>
          <w:ilvl w:val="0"/>
          <w:numId w:val="34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B155E6" w:rsidRPr="00BC3749" w:rsidRDefault="005A1159" w:rsidP="00BC374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Гагарина</w:t>
      </w:r>
      <w:proofErr w:type="spellEnd"/>
    </w:p>
    <w:p w:rsidR="00B155E6" w:rsidRPr="00BC3749" w:rsidRDefault="00B155E6" w:rsidP="00BC374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по учебному предмету "Русский родной язык</w:t>
      </w:r>
      <w:proofErr w:type="gram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"(</w:t>
      </w:r>
      <w:proofErr w:type="gramEnd"/>
      <w:r w:rsidRPr="00BC3749">
        <w:rPr>
          <w:rFonts w:ascii="Verdana" w:hAnsi="Verdana"/>
          <w:color w:val="262626" w:themeColor="text1" w:themeTint="D9"/>
          <w:sz w:val="20"/>
          <w:szCs w:val="20"/>
        </w:rPr>
        <w:t>одобрена Решением федерального учебно-методического</w:t>
      </w:r>
      <w:r w:rsidR="00802C3F"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объединения по </w:t>
      </w:r>
      <w:proofErr w:type="spell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ОО</w:t>
      </w:r>
      <w:proofErr w:type="spellEnd"/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 от 31.01.2018 №2/18)</w:t>
      </w:r>
    </w:p>
    <w:p w:rsidR="005A1159" w:rsidRPr="00BC3749" w:rsidRDefault="00B155E6" w:rsidP="00BC374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П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римерная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рабочая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программа по учебному предмету «Р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одной язык (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р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усский)»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.</w:t>
      </w:r>
      <w:r w:rsidR="00802C3F"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Составитель - Цыганкова </w:t>
      </w:r>
      <w:proofErr w:type="spellStart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М.Е</w:t>
      </w:r>
      <w:proofErr w:type="spellEnd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. (</w:t>
      </w:r>
      <w:proofErr w:type="spellStart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БУ</w:t>
      </w:r>
      <w:proofErr w:type="spellEnd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ОО</w:t>
      </w:r>
      <w:proofErr w:type="spellEnd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ДПО</w:t>
      </w:r>
      <w:proofErr w:type="spellEnd"/>
      <w:r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"</w:t>
      </w:r>
      <w:r w:rsidR="00802C3F" w:rsidRPr="00BC3749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Институт развития образования")</w:t>
      </w:r>
      <w:r w:rsidR="005A1159" w:rsidRPr="00BC37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ab/>
      </w:r>
    </w:p>
    <w:p w:rsidR="005A1159" w:rsidRPr="00BC3749" w:rsidRDefault="005A1159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Данная рабочая программа по </w:t>
      </w:r>
      <w:r w:rsidR="00802C3F"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родному (русскому) языку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разработана для 9 - А класса и  рассчитана на 17 часов в  год, из расчёта 1 час в неделю в течение полугодия. Срок реализации рабочей программы -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  <w:lang w:val="en-US"/>
        </w:rPr>
        <w:t>I</w:t>
      </w:r>
      <w:r w:rsidR="00CB78EC" w:rsidRPr="00BC3749">
        <w:rPr>
          <w:rFonts w:ascii="Verdana" w:hAnsi="Verdana" w:cs="Times New Roman"/>
          <w:color w:val="262626" w:themeColor="text1" w:themeTint="D9"/>
          <w:sz w:val="20"/>
          <w:szCs w:val="20"/>
          <w:lang w:val="en-US"/>
        </w:rPr>
        <w:t>I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полугодие 2019 - 2020 учебного года.</w:t>
      </w:r>
    </w:p>
    <w:p w:rsidR="005A1159" w:rsidRPr="00BC3749" w:rsidRDefault="005A1159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02.09.2019 г.) и расписанием уроков в 9 - А классе в 2019 - 2020 учебном г</w:t>
      </w:r>
      <w:r w:rsidR="00CB78EC"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оду  запланировано проведение 17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уроков.</w:t>
      </w:r>
    </w:p>
    <w:p w:rsidR="005A1159" w:rsidRPr="00BC3749" w:rsidRDefault="005A1159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5A1159" w:rsidRPr="00BC3749" w:rsidRDefault="005A1159" w:rsidP="00BC3749">
      <w:pPr>
        <w:shd w:val="clear" w:color="auto" w:fill="FFFFFF"/>
        <w:spacing w:after="0" w:line="280" w:lineRule="atLeast"/>
        <w:ind w:firstLine="567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Содержание учебного предмета.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Раздел 1. Язык и культура 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неологический</w:t>
      </w:r>
      <w:proofErr w:type="spell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Раздел 2. Культура речи 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Основные орфоэпические нормы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</w:t>
      </w:r>
      <w:r w:rsid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как художественный приём.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ошибки</w:t>
      </w:r>
      <w:proofErr w:type="gram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‚ связанные с нарушением лексической сочетаемости.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Речевая избыточность и точность речи. Тавтология. Плеоназм. Типичные </w:t>
      </w:r>
      <w:proofErr w:type="gram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ошибки</w:t>
      </w:r>
      <w:proofErr w:type="gram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‚ связанные с речевой избыточностью. 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грамматические нормы современного русского литературного языка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(обобщение).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Типичные ошибки в построении сложных предложений: постановка рядом двух однозначных союзов (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но </w:t>
      </w:r>
      <w:proofErr w:type="gramStart"/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и</w:t>
      </w:r>
      <w:proofErr w:type="gramEnd"/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 однако, что и будто, что и как будто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)‚ повторение частицы бы в предложениях с союзами 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чтобы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 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если бы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52F33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Речевой этикет</w:t>
      </w:r>
    </w:p>
    <w:p w:rsidR="00802C3F" w:rsidRPr="00BC3749" w:rsidRDefault="00D52F33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Этика и этикет в электронной среде общения. Понятие </w:t>
      </w:r>
      <w:proofErr w:type="spell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неэтикета</w:t>
      </w:r>
      <w:proofErr w:type="spell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Этикет </w:t>
      </w:r>
      <w:proofErr w:type="gram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Интернет-переписки</w:t>
      </w:r>
      <w:proofErr w:type="gram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Этические нормы, правила этикета </w:t>
      </w:r>
      <w:proofErr w:type="gram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Интернет-дискуссии</w:t>
      </w:r>
      <w:proofErr w:type="gram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, Интернет-полемики. Этикетное речевое поведени</w:t>
      </w:r>
      <w:r w:rsidR="00BC3749">
        <w:rPr>
          <w:rFonts w:ascii="Verdana" w:hAnsi="Verdana" w:cs="Times New Roman"/>
          <w:color w:val="262626" w:themeColor="text1" w:themeTint="D9"/>
          <w:sz w:val="20"/>
          <w:szCs w:val="20"/>
        </w:rPr>
        <w:t>е в ситуациях делового общения.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Основные орфоэпические нормы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н</w:t>
      </w:r>
      <w:r w:rsidRPr="00BC3749">
        <w:rPr>
          <w:rFonts w:ascii="Verdana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а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 дом‚ н</w:t>
      </w:r>
      <w:r w:rsidRPr="00BC3749">
        <w:rPr>
          <w:rFonts w:ascii="Verdana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а</w:t>
      </w:r>
      <w:r w:rsidRPr="00BC3749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 гору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)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Паронимы и точность речи. Смысловые различия, характер лексической сочетаемости, способы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управления, функционально-стилевая окраска и употребление паронимов в речи. Типичные речевые </w:t>
      </w:r>
      <w:proofErr w:type="gramStart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ошибки</w:t>
      </w:r>
      <w:proofErr w:type="gramEnd"/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‚ связанные с употреблением паронимов в речи.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Речевой этикет.</w:t>
      </w:r>
    </w:p>
    <w:p w:rsidR="00CB78EC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C3749" w:rsidRPr="00BC3749" w:rsidRDefault="00BC3749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CB78EC" w:rsidRPr="00BC3749" w:rsidRDefault="00CB78EC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CB78EC" w:rsidRPr="00BC3749" w:rsidRDefault="00CB78EC" w:rsidP="00BC3749">
      <w:pPr>
        <w:shd w:val="clear" w:color="auto" w:fill="FFFFFF"/>
        <w:spacing w:after="0" w:line="280" w:lineRule="atLeast"/>
        <w:ind w:firstLine="567"/>
        <w:jc w:val="center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Планируемые результаты освоения учебного предмета.</w:t>
      </w:r>
    </w:p>
    <w:p w:rsidR="00CB78EC" w:rsidRPr="00BC3749" w:rsidRDefault="00CB78EC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802C3F" w:rsidRPr="00BC3749" w:rsidRDefault="00CB78EC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 </w:t>
      </w:r>
      <w:r w:rsidR="00802C3F"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Личностные результаты: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-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802C3F" w:rsidRPr="00BC3749" w:rsidRDefault="00802C3F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02C3F" w:rsidRPr="00BC3749" w:rsidRDefault="00802C3F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proofErr w:type="spellStart"/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Метапредметные</w:t>
      </w:r>
      <w:proofErr w:type="spellEnd"/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 результаты: 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802C3F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</w:t>
      </w:r>
      <w:r w:rsidR="00BC3749">
        <w:rPr>
          <w:rFonts w:ascii="Verdana" w:hAnsi="Verdana" w:cs="Times New Roman"/>
          <w:color w:val="262626" w:themeColor="text1" w:themeTint="D9"/>
          <w:sz w:val="20"/>
          <w:szCs w:val="20"/>
        </w:rPr>
        <w:t>ельности в приобретении знаний.</w:t>
      </w:r>
    </w:p>
    <w:p w:rsidR="00BC3749" w:rsidRPr="00BC3749" w:rsidRDefault="00BC3749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802C3F" w:rsidRPr="00BC3749" w:rsidRDefault="00802C3F" w:rsidP="00BC3749">
      <w:pPr>
        <w:shd w:val="clear" w:color="auto" w:fill="FFFFFF"/>
        <w:spacing w:after="0" w:line="280" w:lineRule="atLeast"/>
        <w:ind w:firstLine="567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Предметные результаты: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b/>
          <w:bCs/>
          <w:color w:val="262626" w:themeColor="text1" w:themeTint="D9"/>
          <w:sz w:val="20"/>
          <w:szCs w:val="20"/>
        </w:rPr>
        <w:lastRenderedPageBreak/>
        <w:t xml:space="preserve">- </w:t>
      </w: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802C3F" w:rsidRPr="00BC3749" w:rsidRDefault="00802C3F" w:rsidP="00BC3749">
      <w:pPr>
        <w:spacing w:after="0"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 xml:space="preserve">- использование различных словарей, в том числе мультимедийных; </w:t>
      </w:r>
    </w:p>
    <w:p w:rsidR="00802C3F" w:rsidRPr="00BC3749" w:rsidRDefault="00802C3F" w:rsidP="00BC3749">
      <w:pPr>
        <w:pStyle w:val="ConsPlusNormal"/>
        <w:spacing w:line="280" w:lineRule="atLeast"/>
        <w:ind w:firstLine="567"/>
        <w:rPr>
          <w:rFonts w:ascii="Verdana" w:hAnsi="Verdana"/>
          <w:color w:val="262626" w:themeColor="text1" w:themeTint="D9"/>
          <w:sz w:val="20"/>
          <w:szCs w:val="20"/>
        </w:rPr>
      </w:pPr>
      <w:r w:rsidRPr="00BC3749">
        <w:rPr>
          <w:rFonts w:ascii="Verdana" w:hAnsi="Verdana"/>
          <w:color w:val="262626" w:themeColor="text1" w:themeTint="D9"/>
          <w:sz w:val="20"/>
          <w:szCs w:val="20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BC3749">
        <w:rPr>
          <w:rFonts w:ascii="Verdana" w:hAnsi="Verdana"/>
          <w:color w:val="262626" w:themeColor="text1" w:themeTint="D9"/>
          <w:sz w:val="20"/>
          <w:szCs w:val="20"/>
        </w:rPr>
        <w:t>дств дл</w:t>
      </w:r>
      <w:proofErr w:type="gramEnd"/>
      <w:r w:rsidRPr="00BC3749">
        <w:rPr>
          <w:rFonts w:ascii="Verdana" w:hAnsi="Verdana"/>
          <w:color w:val="262626" w:themeColor="text1" w:themeTint="D9"/>
          <w:sz w:val="20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802C3F" w:rsidRPr="00BC3749" w:rsidRDefault="00802C3F" w:rsidP="00BC3749">
      <w:pPr>
        <w:shd w:val="clear" w:color="auto" w:fill="FFFFFF"/>
        <w:spacing w:after="0" w:line="280" w:lineRule="atLeast"/>
        <w:ind w:firstLine="56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BC3749" w:rsidRDefault="00BC3749" w:rsidP="00BC3749">
      <w:pPr>
        <w:spacing w:after="0" w:line="280" w:lineRule="atLeast"/>
        <w:ind w:firstLine="567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802C3F" w:rsidRPr="00BC3749" w:rsidRDefault="00802C3F" w:rsidP="00BC3749">
      <w:pPr>
        <w:spacing w:after="0" w:line="280" w:lineRule="atLeast"/>
        <w:ind w:firstLine="567"/>
        <w:jc w:val="center"/>
        <w:rPr>
          <w:rStyle w:val="20"/>
          <w:rFonts w:ascii="Verdana" w:hAnsi="Verdana"/>
          <w:b w:val="0"/>
          <w:color w:val="262626" w:themeColor="text1" w:themeTint="D9"/>
          <w:sz w:val="20"/>
          <w:szCs w:val="20"/>
        </w:rPr>
      </w:pPr>
      <w:r w:rsidRPr="00BC3749">
        <w:rPr>
          <w:rStyle w:val="20"/>
          <w:rFonts w:ascii="Verdana" w:hAnsi="Verdana"/>
          <w:color w:val="262626" w:themeColor="text1" w:themeTint="D9"/>
          <w:sz w:val="20"/>
          <w:szCs w:val="20"/>
        </w:rPr>
        <w:lastRenderedPageBreak/>
        <w:t>Календарно-тематическое планирование.</w:t>
      </w:r>
    </w:p>
    <w:p w:rsidR="00802C3F" w:rsidRPr="00BC3749" w:rsidRDefault="00802C3F" w:rsidP="00BC3749">
      <w:pPr>
        <w:suppressAutoHyphens/>
        <w:spacing w:after="0" w:line="280" w:lineRule="atLeast"/>
        <w:ind w:firstLine="709"/>
        <w:rPr>
          <w:rFonts w:ascii="Verdana" w:eastAsia="Calibri" w:hAnsi="Verdana" w:cs="Times New Roman"/>
          <w:color w:val="262626" w:themeColor="text1" w:themeTint="D9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804"/>
        <w:gridCol w:w="993"/>
      </w:tblGrid>
      <w:tr w:rsidR="00BC3749" w:rsidRPr="00BC3749" w:rsidTr="002B1B23">
        <w:trPr>
          <w:trHeight w:val="333"/>
        </w:trPr>
        <w:tc>
          <w:tcPr>
            <w:tcW w:w="675" w:type="dxa"/>
            <w:vMerge w:val="restart"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6804" w:type="dxa"/>
            <w:vMerge w:val="restart"/>
          </w:tcPr>
          <w:p w:rsidR="00802C3F" w:rsidRPr="00BC3749" w:rsidRDefault="00CB78EC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Раздел, т</w:t>
            </w:r>
            <w:r w:rsidR="00802C3F"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ема урока</w:t>
            </w:r>
          </w:p>
        </w:tc>
        <w:tc>
          <w:tcPr>
            <w:tcW w:w="993" w:type="dxa"/>
            <w:vMerge w:val="restart"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Кол-во часов</w:t>
            </w:r>
          </w:p>
        </w:tc>
      </w:tr>
      <w:tr w:rsidR="00BC3749" w:rsidRPr="00BC3749" w:rsidTr="002B1B23">
        <w:trPr>
          <w:trHeight w:val="333"/>
        </w:trPr>
        <w:tc>
          <w:tcPr>
            <w:tcW w:w="675" w:type="dxa"/>
            <w:vMerge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факту</w:t>
            </w:r>
          </w:p>
        </w:tc>
        <w:tc>
          <w:tcPr>
            <w:tcW w:w="6804" w:type="dxa"/>
            <w:vMerge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C3F" w:rsidRPr="00BC3749" w:rsidRDefault="00802C3F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C3749" w:rsidRPr="00BC3749" w:rsidTr="002B1B23">
        <w:tc>
          <w:tcPr>
            <w:tcW w:w="10173" w:type="dxa"/>
            <w:gridSpan w:val="5"/>
          </w:tcPr>
          <w:p w:rsidR="00802C3F" w:rsidRPr="00BC3749" w:rsidRDefault="00802C3F" w:rsidP="00BC37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Язык и культура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14.01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Ключевые слова  русской культуры и  их национально-историческая значимость.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Крылатые слова и выражения  как выражение речевой культуры.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Активные  процессы  в современном русском языке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Активные  процессы  в современном русском языке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</w:t>
            </w:r>
          </w:p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18.02</w:t>
            </w:r>
          </w:p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Употребление иноязычных слов как проблема культуры речи.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BC3749" w:rsidRPr="00BC3749" w:rsidTr="00767CCA">
        <w:tc>
          <w:tcPr>
            <w:tcW w:w="10173" w:type="dxa"/>
            <w:gridSpan w:val="5"/>
          </w:tcPr>
          <w:p w:rsidR="00802C3F" w:rsidRPr="00BC3749" w:rsidRDefault="00802C3F" w:rsidP="00BC37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  <w:r w:rsidRPr="00BC3749">
              <w:rPr>
                <w:rFonts w:ascii="Verdana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Культура речи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Лексическая сочетаемость слова и точность речи.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31.03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Речевая избыточность и точность речи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согласования и управления в русском языке.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построения сложных предложений.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Итоговая контрольная работа</w:t>
            </w: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Этика и этикет в электронной среде общения</w:t>
            </w: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BC3749" w:rsidRPr="00BC3749" w:rsidTr="002B1B23">
        <w:tc>
          <w:tcPr>
            <w:tcW w:w="675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Этикетное речевое поведение в ситуациях делового общения.</w:t>
            </w:r>
          </w:p>
        </w:tc>
        <w:tc>
          <w:tcPr>
            <w:tcW w:w="993" w:type="dxa"/>
          </w:tcPr>
          <w:p w:rsidR="00963E8B" w:rsidRPr="00BC3749" w:rsidRDefault="00963E8B" w:rsidP="00BC37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BC37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B039E5" w:rsidRPr="00BC3749" w:rsidRDefault="00B039E5" w:rsidP="00BC37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sectPr w:rsidR="00B039E5" w:rsidRPr="00BC3749" w:rsidSect="00B155E6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BA" w:rsidRDefault="002728BA" w:rsidP="00B155E6">
      <w:pPr>
        <w:spacing w:after="0" w:line="240" w:lineRule="auto"/>
      </w:pPr>
      <w:r>
        <w:separator/>
      </w:r>
    </w:p>
  </w:endnote>
  <w:endnote w:type="continuationSeparator" w:id="0">
    <w:p w:rsidR="002728BA" w:rsidRDefault="002728BA" w:rsidP="00B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87570"/>
      <w:docPartObj>
        <w:docPartGallery w:val="Page Numbers (Bottom of Page)"/>
        <w:docPartUnique/>
      </w:docPartObj>
    </w:sdtPr>
    <w:sdtContent>
      <w:p w:rsidR="00B155E6" w:rsidRDefault="00B155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49">
          <w:rPr>
            <w:noProof/>
          </w:rPr>
          <w:t>6</w:t>
        </w:r>
        <w:r>
          <w:fldChar w:fldCharType="end"/>
        </w:r>
      </w:p>
    </w:sdtContent>
  </w:sdt>
  <w:p w:rsidR="00B155E6" w:rsidRDefault="00B1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BA" w:rsidRDefault="002728BA" w:rsidP="00B155E6">
      <w:pPr>
        <w:spacing w:after="0" w:line="240" w:lineRule="auto"/>
      </w:pPr>
      <w:r>
        <w:separator/>
      </w:r>
    </w:p>
  </w:footnote>
  <w:footnote w:type="continuationSeparator" w:id="0">
    <w:p w:rsidR="002728BA" w:rsidRDefault="002728BA" w:rsidP="00B1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6FB"/>
    <w:multiLevelType w:val="hybridMultilevel"/>
    <w:tmpl w:val="9544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F460E"/>
    <w:multiLevelType w:val="multilevel"/>
    <w:tmpl w:val="74D2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3EFE"/>
    <w:multiLevelType w:val="multilevel"/>
    <w:tmpl w:val="8D0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544E"/>
    <w:multiLevelType w:val="multilevel"/>
    <w:tmpl w:val="0A1C2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D6F10"/>
    <w:multiLevelType w:val="multilevel"/>
    <w:tmpl w:val="FE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A4831"/>
    <w:multiLevelType w:val="multilevel"/>
    <w:tmpl w:val="869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C1873"/>
    <w:multiLevelType w:val="multilevel"/>
    <w:tmpl w:val="50F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14A2F"/>
    <w:multiLevelType w:val="multilevel"/>
    <w:tmpl w:val="7FF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3B73"/>
    <w:multiLevelType w:val="multilevel"/>
    <w:tmpl w:val="B39C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00A30"/>
    <w:multiLevelType w:val="multilevel"/>
    <w:tmpl w:val="E55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1491"/>
    <w:multiLevelType w:val="multilevel"/>
    <w:tmpl w:val="856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44214"/>
    <w:multiLevelType w:val="multilevel"/>
    <w:tmpl w:val="6C5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6880"/>
    <w:multiLevelType w:val="multilevel"/>
    <w:tmpl w:val="9DE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11013"/>
    <w:multiLevelType w:val="multilevel"/>
    <w:tmpl w:val="A79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06ED7"/>
    <w:multiLevelType w:val="multilevel"/>
    <w:tmpl w:val="E50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C5188"/>
    <w:multiLevelType w:val="multilevel"/>
    <w:tmpl w:val="138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5015F"/>
    <w:multiLevelType w:val="hybridMultilevel"/>
    <w:tmpl w:val="80863284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0198F"/>
    <w:multiLevelType w:val="multilevel"/>
    <w:tmpl w:val="5CC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4225C"/>
    <w:multiLevelType w:val="multilevel"/>
    <w:tmpl w:val="92E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924D85"/>
    <w:multiLevelType w:val="multilevel"/>
    <w:tmpl w:val="50C06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7459E"/>
    <w:multiLevelType w:val="hybridMultilevel"/>
    <w:tmpl w:val="0C4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1715D"/>
    <w:multiLevelType w:val="multilevel"/>
    <w:tmpl w:val="99A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64F5D"/>
    <w:multiLevelType w:val="hybridMultilevel"/>
    <w:tmpl w:val="3A24EB6C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72CB4"/>
    <w:multiLevelType w:val="multilevel"/>
    <w:tmpl w:val="78A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83D31"/>
    <w:multiLevelType w:val="multilevel"/>
    <w:tmpl w:val="69D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71EF2"/>
    <w:multiLevelType w:val="multilevel"/>
    <w:tmpl w:val="BD00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24B1D"/>
    <w:multiLevelType w:val="multilevel"/>
    <w:tmpl w:val="A6E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A4802"/>
    <w:multiLevelType w:val="multilevel"/>
    <w:tmpl w:val="65F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72622"/>
    <w:multiLevelType w:val="multilevel"/>
    <w:tmpl w:val="34F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278BE"/>
    <w:multiLevelType w:val="multilevel"/>
    <w:tmpl w:val="B1EC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E3520"/>
    <w:multiLevelType w:val="multilevel"/>
    <w:tmpl w:val="918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05603"/>
    <w:multiLevelType w:val="multilevel"/>
    <w:tmpl w:val="D29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564E6"/>
    <w:multiLevelType w:val="multilevel"/>
    <w:tmpl w:val="4DF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77328"/>
    <w:multiLevelType w:val="multilevel"/>
    <w:tmpl w:val="352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336B2"/>
    <w:multiLevelType w:val="hybridMultilevel"/>
    <w:tmpl w:val="0AC6A440"/>
    <w:lvl w:ilvl="0" w:tplc="66A8C1FE">
      <w:numFmt w:val="bullet"/>
      <w:lvlText w:val="•"/>
      <w:lvlJc w:val="left"/>
      <w:pPr>
        <w:ind w:left="1144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9"/>
  </w:num>
  <w:num w:numId="4">
    <w:abstractNumId w:val="9"/>
  </w:num>
  <w:num w:numId="5">
    <w:abstractNumId w:val="6"/>
  </w:num>
  <w:num w:numId="6">
    <w:abstractNumId w:val="21"/>
  </w:num>
  <w:num w:numId="7">
    <w:abstractNumId w:val="19"/>
  </w:num>
  <w:num w:numId="8">
    <w:abstractNumId w:val="30"/>
  </w:num>
  <w:num w:numId="9">
    <w:abstractNumId w:val="10"/>
  </w:num>
  <w:num w:numId="10">
    <w:abstractNumId w:val="23"/>
  </w:num>
  <w:num w:numId="11">
    <w:abstractNumId w:val="12"/>
  </w:num>
  <w:num w:numId="12">
    <w:abstractNumId w:val="14"/>
  </w:num>
  <w:num w:numId="13">
    <w:abstractNumId w:val="4"/>
  </w:num>
  <w:num w:numId="14">
    <w:abstractNumId w:val="5"/>
  </w:num>
  <w:num w:numId="15">
    <w:abstractNumId w:val="31"/>
  </w:num>
  <w:num w:numId="16">
    <w:abstractNumId w:val="35"/>
  </w:num>
  <w:num w:numId="17">
    <w:abstractNumId w:val="26"/>
  </w:num>
  <w:num w:numId="18">
    <w:abstractNumId w:val="32"/>
  </w:num>
  <w:num w:numId="19">
    <w:abstractNumId w:val="33"/>
  </w:num>
  <w:num w:numId="20">
    <w:abstractNumId w:val="8"/>
  </w:num>
  <w:num w:numId="21">
    <w:abstractNumId w:val="16"/>
  </w:num>
  <w:num w:numId="22">
    <w:abstractNumId w:val="11"/>
  </w:num>
  <w:num w:numId="23">
    <w:abstractNumId w:val="25"/>
  </w:num>
  <w:num w:numId="24">
    <w:abstractNumId w:val="27"/>
  </w:num>
  <w:num w:numId="25">
    <w:abstractNumId w:val="7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15"/>
  </w:num>
  <w:num w:numId="31">
    <w:abstractNumId w:val="2"/>
  </w:num>
  <w:num w:numId="32">
    <w:abstractNumId w:val="20"/>
  </w:num>
  <w:num w:numId="33">
    <w:abstractNumId w:val="0"/>
  </w:num>
  <w:num w:numId="34">
    <w:abstractNumId w:val="3"/>
  </w:num>
  <w:num w:numId="35">
    <w:abstractNumId w:val="24"/>
  </w:num>
  <w:num w:numId="36">
    <w:abstractNumId w:val="3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A"/>
    <w:rsid w:val="00192F60"/>
    <w:rsid w:val="002728BA"/>
    <w:rsid w:val="005A1159"/>
    <w:rsid w:val="00637A1A"/>
    <w:rsid w:val="00706D92"/>
    <w:rsid w:val="00802C3F"/>
    <w:rsid w:val="008D22E2"/>
    <w:rsid w:val="00963E8B"/>
    <w:rsid w:val="00976FB2"/>
    <w:rsid w:val="00B039E5"/>
    <w:rsid w:val="00B155E6"/>
    <w:rsid w:val="00BC3749"/>
    <w:rsid w:val="00CB78EC"/>
    <w:rsid w:val="00D52F33"/>
    <w:rsid w:val="00EE132A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A"/>
  </w:style>
  <w:style w:type="paragraph" w:styleId="2">
    <w:name w:val="heading 2"/>
    <w:basedOn w:val="a"/>
    <w:link w:val="20"/>
    <w:uiPriority w:val="99"/>
    <w:qFormat/>
    <w:rsid w:val="005A1159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1A"/>
    <w:pPr>
      <w:ind w:left="720"/>
      <w:contextualSpacing/>
    </w:pPr>
  </w:style>
  <w:style w:type="table" w:styleId="a4">
    <w:name w:val="Table Grid"/>
    <w:basedOn w:val="a1"/>
    <w:uiPriority w:val="59"/>
    <w:rsid w:val="008D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8D22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9"/>
    <w:qFormat/>
    <w:rsid w:val="005A1159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B1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5E6"/>
  </w:style>
  <w:style w:type="paragraph" w:styleId="a7">
    <w:name w:val="footer"/>
    <w:basedOn w:val="a"/>
    <w:link w:val="a8"/>
    <w:uiPriority w:val="99"/>
    <w:unhideWhenUsed/>
    <w:rsid w:val="00B1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5E6"/>
  </w:style>
  <w:style w:type="paragraph" w:customStyle="1" w:styleId="ConsPlusNormal">
    <w:name w:val="ConsPlusNormal"/>
    <w:rsid w:val="00802C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A"/>
  </w:style>
  <w:style w:type="paragraph" w:styleId="2">
    <w:name w:val="heading 2"/>
    <w:basedOn w:val="a"/>
    <w:link w:val="20"/>
    <w:uiPriority w:val="99"/>
    <w:qFormat/>
    <w:rsid w:val="005A1159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1A"/>
    <w:pPr>
      <w:ind w:left="720"/>
      <w:contextualSpacing/>
    </w:pPr>
  </w:style>
  <w:style w:type="table" w:styleId="a4">
    <w:name w:val="Table Grid"/>
    <w:basedOn w:val="a1"/>
    <w:uiPriority w:val="59"/>
    <w:rsid w:val="008D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8D22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9"/>
    <w:qFormat/>
    <w:rsid w:val="005A1159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B1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5E6"/>
  </w:style>
  <w:style w:type="paragraph" w:styleId="a7">
    <w:name w:val="footer"/>
    <w:basedOn w:val="a"/>
    <w:link w:val="a8"/>
    <w:uiPriority w:val="99"/>
    <w:unhideWhenUsed/>
    <w:rsid w:val="00B1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5E6"/>
  </w:style>
  <w:style w:type="paragraph" w:customStyle="1" w:styleId="ConsPlusNormal">
    <w:name w:val="ConsPlusNormal"/>
    <w:rsid w:val="00802C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2019-10-14T20:26:00Z</cp:lastPrinted>
  <dcterms:created xsi:type="dcterms:W3CDTF">2019-09-28T08:21:00Z</dcterms:created>
  <dcterms:modified xsi:type="dcterms:W3CDTF">2019-10-14T21:14:00Z</dcterms:modified>
</cp:coreProperties>
</file>